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4F" w:rsidRDefault="00FC064F" w:rsidP="00FC064F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FC064F" w:rsidTr="00FC064F">
        <w:trPr>
          <w:trHeight w:val="3415"/>
        </w:trPr>
        <w:tc>
          <w:tcPr>
            <w:tcW w:w="4786" w:type="dxa"/>
          </w:tcPr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FC064F" w:rsidRDefault="00FC064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FC064F" w:rsidRDefault="00FC064F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  решению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FC064F" w:rsidRDefault="00FC064F" w:rsidP="009714BC">
            <w:pPr>
              <w:tabs>
                <w:tab w:val="left" w:pos="5490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Остерского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Рославльского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Смоленс</w:t>
            </w:r>
            <w:r w:rsidR="009714BC">
              <w:rPr>
                <w:sz w:val="28"/>
                <w:szCs w:val="28"/>
                <w:lang w:eastAsia="en-US"/>
              </w:rPr>
              <w:t xml:space="preserve">кой </w:t>
            </w:r>
            <w:proofErr w:type="gramStart"/>
            <w:r w:rsidR="009714BC">
              <w:rPr>
                <w:sz w:val="28"/>
                <w:szCs w:val="28"/>
                <w:lang w:eastAsia="en-US"/>
              </w:rPr>
              <w:t xml:space="preserve">области  </w:t>
            </w:r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26.11.2018 №28 </w:t>
            </w:r>
          </w:p>
          <w:p w:rsidR="00FC064F" w:rsidRDefault="009714BC">
            <w:pPr>
              <w:tabs>
                <w:tab w:val="left" w:pos="616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 редакции решений</w:t>
            </w:r>
            <w:r w:rsidR="00FC064F">
              <w:rPr>
                <w:sz w:val="28"/>
                <w:szCs w:val="28"/>
                <w:lang w:eastAsia="en-US"/>
              </w:rPr>
              <w:t xml:space="preserve"> Совета депутатов </w:t>
            </w:r>
            <w:proofErr w:type="spellStart"/>
            <w:r w:rsidR="00FC064F">
              <w:rPr>
                <w:sz w:val="28"/>
                <w:szCs w:val="28"/>
                <w:lang w:eastAsia="en-US"/>
              </w:rPr>
              <w:t>Остерского</w:t>
            </w:r>
            <w:proofErr w:type="spellEnd"/>
            <w:r w:rsidR="00FC064F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="00FC064F">
              <w:rPr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="00FC064F">
              <w:rPr>
                <w:sz w:val="28"/>
                <w:szCs w:val="28"/>
                <w:lang w:eastAsia="en-US"/>
              </w:rPr>
              <w:t xml:space="preserve"> района Смоленской </w:t>
            </w:r>
            <w:proofErr w:type="gramStart"/>
            <w:r w:rsidR="00FC064F">
              <w:rPr>
                <w:sz w:val="28"/>
                <w:szCs w:val="28"/>
                <w:lang w:eastAsia="en-US"/>
              </w:rPr>
              <w:t>области  от</w:t>
            </w:r>
            <w:proofErr w:type="gramEnd"/>
            <w:r w:rsidR="00FC064F">
              <w:rPr>
                <w:sz w:val="28"/>
                <w:szCs w:val="28"/>
                <w:lang w:eastAsia="en-US"/>
              </w:rPr>
              <w:t xml:space="preserve"> 22.05.2020 № 9, от  26.11.2021 30</w:t>
            </w:r>
            <w:r w:rsidR="006D5F75">
              <w:rPr>
                <w:sz w:val="28"/>
                <w:szCs w:val="28"/>
                <w:lang w:eastAsia="en-US"/>
              </w:rPr>
              <w:t xml:space="preserve">, от 06.12.2022 </w:t>
            </w:r>
            <w:r w:rsidR="00C72CFF">
              <w:rPr>
                <w:sz w:val="28"/>
                <w:szCs w:val="28"/>
                <w:lang w:eastAsia="en-US"/>
              </w:rPr>
              <w:t>№</w:t>
            </w:r>
            <w:r w:rsidR="006D5F75">
              <w:rPr>
                <w:sz w:val="28"/>
                <w:szCs w:val="28"/>
                <w:lang w:eastAsia="en-US"/>
              </w:rPr>
              <w:t>31</w:t>
            </w:r>
            <w:r w:rsidR="00FC064F">
              <w:rPr>
                <w:sz w:val="28"/>
                <w:szCs w:val="28"/>
                <w:lang w:eastAsia="en-US"/>
              </w:rPr>
              <w:t>)</w:t>
            </w:r>
          </w:p>
          <w:p w:rsidR="00FC064F" w:rsidRDefault="00FC064F">
            <w:pPr>
              <w:tabs>
                <w:tab w:val="left" w:pos="616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064F" w:rsidRDefault="00FC064F" w:rsidP="00FC064F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FC064F" w:rsidRDefault="00FC064F" w:rsidP="00FC064F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содержание и ремонт жилого помещения</w:t>
      </w:r>
    </w:p>
    <w:p w:rsidR="00FC064F" w:rsidRDefault="00FC064F" w:rsidP="00FC064F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жилых домах с учётом видов благоустройства</w:t>
      </w:r>
    </w:p>
    <w:p w:rsidR="00FC064F" w:rsidRDefault="00FC064F" w:rsidP="00FC064F">
      <w:pPr>
        <w:tabs>
          <w:tab w:val="left" w:pos="1635"/>
        </w:tabs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dxa"/>
        <w:tblLayout w:type="fixed"/>
        <w:tblLook w:val="04A0" w:firstRow="1" w:lastRow="0" w:firstColumn="1" w:lastColumn="0" w:noHBand="0" w:noVBand="1"/>
      </w:tblPr>
      <w:tblGrid>
        <w:gridCol w:w="760"/>
        <w:gridCol w:w="2458"/>
        <w:gridCol w:w="1046"/>
        <w:gridCol w:w="13"/>
        <w:gridCol w:w="1218"/>
        <w:gridCol w:w="1276"/>
        <w:gridCol w:w="1276"/>
        <w:gridCol w:w="992"/>
        <w:gridCol w:w="993"/>
        <w:gridCol w:w="992"/>
      </w:tblGrid>
      <w:tr w:rsidR="00FC064F" w:rsidTr="00FC064F">
        <w:trPr>
          <w:trHeight w:val="1126"/>
        </w:trPr>
        <w:tc>
          <w:tcPr>
            <w:tcW w:w="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64F" w:rsidRDefault="00FC064F">
            <w:pPr>
              <w:tabs>
                <w:tab w:val="left" w:pos="16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64F" w:rsidRDefault="00FC064F">
            <w:pPr>
              <w:tabs>
                <w:tab w:val="left" w:pos="16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Классификация жилищного фонда</w:t>
            </w:r>
          </w:p>
        </w:tc>
        <w:tc>
          <w:tcPr>
            <w:tcW w:w="780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Размер платы рублей за 1 кв. м общей площади жилого помещения в месяц без  НДС с учётом  технического обслуживания внутридомовых сетей отопления, горячего водоснабжения, газоснабжения и электроснабжения</w:t>
            </w:r>
          </w:p>
        </w:tc>
      </w:tr>
      <w:tr w:rsidR="00FC064F" w:rsidTr="00FC064F">
        <w:trPr>
          <w:trHeight w:val="375"/>
        </w:trPr>
        <w:tc>
          <w:tcPr>
            <w:tcW w:w="7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67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FC064F" w:rsidTr="00FC064F">
        <w:trPr>
          <w:trHeight w:val="317"/>
        </w:trPr>
        <w:tc>
          <w:tcPr>
            <w:tcW w:w="7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90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и текущий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Техническое обслуживание внутридомовых сетей отопления и горячего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Техническое обслуживание внутридомовых сетей отопления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нормативы потребления коммунальных ресурсов в целях содержания общего имущества дома (МОП)</w:t>
            </w:r>
          </w:p>
        </w:tc>
      </w:tr>
      <w:tr w:rsidR="00FC064F" w:rsidTr="00FC064F">
        <w:trPr>
          <w:trHeight w:val="813"/>
        </w:trPr>
        <w:tc>
          <w:tcPr>
            <w:tcW w:w="7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90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ХВС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ГВС</w:t>
            </w:r>
          </w:p>
          <w:p w:rsidR="00FC064F" w:rsidRDefault="00FC064F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Электрическая энергия</w:t>
            </w:r>
          </w:p>
          <w:p w:rsidR="00FC064F" w:rsidRDefault="00FC064F">
            <w:pPr>
              <w:jc w:val="center"/>
              <w:rPr>
                <w:lang w:eastAsia="en-US"/>
              </w:rPr>
            </w:pPr>
          </w:p>
        </w:tc>
      </w:tr>
      <w:tr w:rsidR="00FC064F" w:rsidTr="00FC064F">
        <w:trPr>
          <w:trHeight w:val="323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rPr>
                <w:lang w:eastAsia="en-US"/>
              </w:rPr>
            </w:pPr>
            <w:r>
              <w:rPr>
                <w:lang w:eastAsia="en-US"/>
              </w:rPr>
              <w:t>Многоквартирные капитальные жилые дома, имеющие не все виды благоустройства (кроме лифтов и мусоропровода)</w:t>
            </w:r>
          </w:p>
        </w:tc>
        <w:tc>
          <w:tcPr>
            <w:tcW w:w="1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13,59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</w:tr>
      <w:tr w:rsidR="00FC064F" w:rsidTr="00FC064F">
        <w:trPr>
          <w:trHeight w:val="323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Многоквартирные капитальные жилые дома, имеющие не все виды благоустройства </w:t>
            </w:r>
            <w:r>
              <w:rPr>
                <w:lang w:eastAsia="en-US"/>
              </w:rPr>
              <w:lastRenderedPageBreak/>
              <w:t>(кроме лифтов и мусоропровода и ГВС)</w:t>
            </w:r>
          </w:p>
        </w:tc>
        <w:tc>
          <w:tcPr>
            <w:tcW w:w="1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12,92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64F" w:rsidRDefault="00FC064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</w:tr>
      <w:tr w:rsidR="00FC064F" w:rsidTr="00FC064F">
        <w:trPr>
          <w:trHeight w:val="323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rPr>
                <w:lang w:eastAsia="en-US"/>
              </w:rPr>
            </w:pPr>
            <w:r>
              <w:rPr>
                <w:lang w:eastAsia="en-US"/>
              </w:rPr>
              <w:t>Многоквартирные капитальные жилые дома,   имеющие не все виды благоустройства, том числе центрального газоснабжения</w:t>
            </w:r>
          </w:p>
        </w:tc>
        <w:tc>
          <w:tcPr>
            <w:tcW w:w="1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</w:tr>
      <w:tr w:rsidR="00FC064F" w:rsidTr="00FC064F">
        <w:trPr>
          <w:trHeight w:val="338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rPr>
                <w:lang w:eastAsia="en-US"/>
              </w:rPr>
            </w:pPr>
            <w:r>
              <w:rPr>
                <w:lang w:eastAsia="en-US"/>
              </w:rPr>
              <w:t>Многоквартирные жилые дома  пониженной капитальности,  не имеющие благоустройства,  с печным отоплением; К =0,4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4,01</w:t>
            </w:r>
          </w:p>
        </w:tc>
        <w:tc>
          <w:tcPr>
            <w:tcW w:w="1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</w:tr>
    </w:tbl>
    <w:p w:rsidR="00FC064F" w:rsidRDefault="00FC064F" w:rsidP="00FC064F">
      <w:pPr>
        <w:tabs>
          <w:tab w:val="left" w:pos="1635"/>
        </w:tabs>
        <w:ind w:right="282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>* Расчёт объёмов коммунальных ресурсов на содержание мест общего пользования (МОП) по холодному водоснабжению (ХВС), горячему водоснабжению (ГВС), электрической энергии, осуществляются: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 показаниям общедомового прибора учёта: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фактическим затратам, в случае принятия данного порядка общим собранием  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собственниками жилых помещений в многоквартирном доме;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случае если собственниками жилых помещений не принято решение, в объёмах 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превышающих, утверждённых нормативов потребления.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 отсутствии приборов учёта и не введенных их в эксплуатацию: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утверждённым нормативам потребления коммунальных ресурсов. 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tbl>
      <w:tblPr>
        <w:tblStyle w:val="a3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777"/>
      </w:tblGrid>
      <w:tr w:rsidR="00FC064F" w:rsidTr="00FC064F">
        <w:trPr>
          <w:trHeight w:val="3415"/>
        </w:trPr>
        <w:tc>
          <w:tcPr>
            <w:tcW w:w="4644" w:type="dxa"/>
            <w:hideMark/>
          </w:tcPr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5777" w:type="dxa"/>
          </w:tcPr>
          <w:p w:rsidR="00FC064F" w:rsidRDefault="00FC064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ind w:right="817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FC064F" w:rsidRDefault="00FC064F">
            <w:pPr>
              <w:ind w:right="817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  решению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FC064F" w:rsidRDefault="00FC064F" w:rsidP="009714BC">
            <w:pPr>
              <w:tabs>
                <w:tab w:val="left" w:pos="5490"/>
              </w:tabs>
              <w:ind w:right="817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Остерского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Рославльского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Смоленск</w:t>
            </w:r>
            <w:r w:rsidR="009714BC">
              <w:rPr>
                <w:sz w:val="28"/>
                <w:szCs w:val="28"/>
                <w:lang w:eastAsia="en-US"/>
              </w:rPr>
              <w:t xml:space="preserve">ой области   </w:t>
            </w:r>
            <w:r>
              <w:rPr>
                <w:sz w:val="28"/>
                <w:szCs w:val="28"/>
                <w:lang w:eastAsia="en-US"/>
              </w:rPr>
              <w:t>от 26.11.2018  №28</w:t>
            </w:r>
          </w:p>
          <w:p w:rsidR="00FC064F" w:rsidRDefault="006D5F75">
            <w:pPr>
              <w:tabs>
                <w:tab w:val="left" w:pos="6165"/>
              </w:tabs>
              <w:ind w:right="817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 редакции решений</w:t>
            </w:r>
            <w:r w:rsidR="00FC064F"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FC064F" w:rsidRDefault="00FC064F">
            <w:pPr>
              <w:tabs>
                <w:tab w:val="left" w:pos="6165"/>
              </w:tabs>
              <w:ind w:right="817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Остерского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FC064F" w:rsidRDefault="00FC064F">
            <w:pPr>
              <w:tabs>
                <w:tab w:val="left" w:pos="6165"/>
              </w:tabs>
              <w:ind w:right="817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Рославльского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Смоленской области от 22.05.2020 №9, от 26.11.2021 № 30</w:t>
            </w:r>
            <w:r w:rsidR="006D5F75">
              <w:rPr>
                <w:sz w:val="28"/>
                <w:szCs w:val="28"/>
                <w:lang w:eastAsia="en-US"/>
              </w:rPr>
              <w:t>, от 06.12.2022</w:t>
            </w:r>
            <w:r w:rsidR="00C72CFF">
              <w:rPr>
                <w:sz w:val="28"/>
                <w:szCs w:val="28"/>
                <w:lang w:eastAsia="en-US"/>
              </w:rPr>
              <w:t>№</w:t>
            </w:r>
            <w:r w:rsidR="006D5F75">
              <w:rPr>
                <w:sz w:val="28"/>
                <w:szCs w:val="28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sz w:val="28"/>
                <w:szCs w:val="28"/>
                <w:lang w:eastAsia="en-US"/>
              </w:rPr>
              <w:tab/>
              <w:t xml:space="preserve">   </w:t>
            </w:r>
          </w:p>
        </w:tc>
      </w:tr>
    </w:tbl>
    <w:p w:rsidR="00FC064F" w:rsidRDefault="00FC064F" w:rsidP="00FC064F">
      <w:pPr>
        <w:tabs>
          <w:tab w:val="left" w:pos="5220"/>
        </w:tabs>
        <w:jc w:val="center"/>
        <w:rPr>
          <w:sz w:val="28"/>
          <w:szCs w:val="28"/>
        </w:rPr>
      </w:pPr>
    </w:p>
    <w:p w:rsidR="00FC064F" w:rsidRDefault="00FC064F" w:rsidP="00FC064F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FC064F" w:rsidRDefault="00FC064F" w:rsidP="00FC064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жилых домах для коммунальных квартир с учётом видов благоустройства</w:t>
      </w:r>
    </w:p>
    <w:p w:rsidR="00FC064F" w:rsidRDefault="00FC064F" w:rsidP="00FC064F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dxa"/>
        <w:tblLayout w:type="fixed"/>
        <w:tblLook w:val="04A0" w:firstRow="1" w:lastRow="0" w:firstColumn="1" w:lastColumn="0" w:noHBand="0" w:noVBand="1"/>
      </w:tblPr>
      <w:tblGrid>
        <w:gridCol w:w="668"/>
        <w:gridCol w:w="3159"/>
        <w:gridCol w:w="817"/>
        <w:gridCol w:w="993"/>
        <w:gridCol w:w="992"/>
        <w:gridCol w:w="992"/>
        <w:gridCol w:w="1134"/>
        <w:gridCol w:w="992"/>
        <w:gridCol w:w="1134"/>
      </w:tblGrid>
      <w:tr w:rsidR="00FC064F" w:rsidTr="00FC064F">
        <w:trPr>
          <w:trHeight w:val="1125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64F" w:rsidRDefault="00FC064F">
            <w:pPr>
              <w:tabs>
                <w:tab w:val="left" w:pos="16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64F" w:rsidRDefault="00FC064F">
            <w:pPr>
              <w:tabs>
                <w:tab w:val="left" w:pos="16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</w:p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Классификация жилищного фонда</w:t>
            </w:r>
          </w:p>
        </w:tc>
        <w:tc>
          <w:tcPr>
            <w:tcW w:w="705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платы рублей за 1 кв. м жилой площади жилого помещения в месяц без НДС с учётом  технического обслуживания внутридомовых сетей отопления, горячего водоснабжения, газоснабжения и электроснабжения</w:t>
            </w:r>
          </w:p>
        </w:tc>
      </w:tr>
      <w:tr w:rsidR="00FC064F" w:rsidTr="00FC064F">
        <w:trPr>
          <w:trHeight w:val="300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</w:tr>
      <w:tr w:rsidR="00FC064F" w:rsidTr="00FC064F">
        <w:trPr>
          <w:trHeight w:val="482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7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и текущий ремонт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Техническое обслуживание внутридомовых сетей отопления и горячего водоснабжения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Техническое обслуживание внутридомовых сетей отопления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нормативы потребления коммунальных ресурсов в целях содержания общего имущества дома (МОП)</w:t>
            </w:r>
          </w:p>
        </w:tc>
      </w:tr>
      <w:tr w:rsidR="00FC064F" w:rsidTr="00FC064F">
        <w:trPr>
          <w:trHeight w:val="1314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7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ХВС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ГВС</w:t>
            </w:r>
          </w:p>
          <w:p w:rsidR="00FC064F" w:rsidRDefault="00FC064F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064F" w:rsidRDefault="00FC0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Электрическая энергия</w:t>
            </w:r>
          </w:p>
          <w:p w:rsidR="00FC064F" w:rsidRDefault="00FC064F">
            <w:pPr>
              <w:jc w:val="center"/>
              <w:rPr>
                <w:lang w:eastAsia="en-US"/>
              </w:rPr>
            </w:pPr>
          </w:p>
        </w:tc>
      </w:tr>
      <w:tr w:rsidR="00FC064F" w:rsidTr="00FC064F">
        <w:trPr>
          <w:trHeight w:val="323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rPr>
                <w:lang w:eastAsia="en-US"/>
              </w:rPr>
            </w:pPr>
            <w:r>
              <w:rPr>
                <w:lang w:eastAsia="en-US"/>
              </w:rPr>
              <w:t>Многоквартирные капитальные жилые дома, имеющие не все виды благоустройства (кроме лифтов и мусоропровода и ГВС) коммунальные квартиры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495DF2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64F" w:rsidRDefault="00FC064F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</w:tr>
    </w:tbl>
    <w:p w:rsidR="00FC064F" w:rsidRDefault="00FC064F" w:rsidP="00FC064F">
      <w:pPr>
        <w:tabs>
          <w:tab w:val="left" w:pos="300"/>
          <w:tab w:val="left" w:pos="1635"/>
        </w:tabs>
        <w:ind w:hanging="142"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Расчёт объёмов коммунальных ресурсов на содержание мест общего пользования (МОП) по холодному водоснабжению (ХВС), горячему водоснабжению (ГВС), электрической энергии, осуществляются: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 показаниям общедомового прибора учёта: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фактическим затратам, в случае принятия данного порядка общим собранием  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собственниками жилых помещений в многоквартирном доме;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случае если собственниками жилых помещений не принято решение, в объёмах  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превышающих, утверждённых нормативов потребления.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 отсутствии приборов учёта и не введенных их в эксплуатацию:</w:t>
      </w:r>
    </w:p>
    <w:p w:rsidR="00FC064F" w:rsidRDefault="00FC064F" w:rsidP="00FC064F">
      <w:pPr>
        <w:tabs>
          <w:tab w:val="left" w:pos="255"/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утверждённым нормативам потребления коммунальных ресурсов. </w:t>
      </w: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rFonts w:ascii="Calibri" w:hAnsi="Calibri"/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tabs>
          <w:tab w:val="left" w:pos="1635"/>
        </w:tabs>
        <w:ind w:left="-567" w:firstLine="425"/>
        <w:contextualSpacing/>
        <w:jc w:val="both"/>
        <w:rPr>
          <w:sz w:val="28"/>
          <w:szCs w:val="28"/>
        </w:rPr>
      </w:pPr>
    </w:p>
    <w:p w:rsidR="00FC064F" w:rsidRDefault="00FC064F" w:rsidP="00FC064F">
      <w:pPr>
        <w:ind w:left="-567"/>
        <w:rPr>
          <w:sz w:val="28"/>
          <w:szCs w:val="28"/>
        </w:rPr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FC064F" w:rsidRDefault="00FC064F" w:rsidP="00FC064F">
      <w:pPr>
        <w:ind w:left="-567"/>
      </w:pPr>
    </w:p>
    <w:p w:rsidR="00EE150C" w:rsidRDefault="00EE150C"/>
    <w:sectPr w:rsidR="00EE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C3"/>
    <w:rsid w:val="00495DF2"/>
    <w:rsid w:val="006D5F75"/>
    <w:rsid w:val="009714BC"/>
    <w:rsid w:val="009964C3"/>
    <w:rsid w:val="00C72CFF"/>
    <w:rsid w:val="00E82B24"/>
    <w:rsid w:val="00EE150C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311E"/>
  <w15:chartTrackingRefBased/>
  <w15:docId w15:val="{4CE77FB4-A8DC-45B6-AD8C-C36A75F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9</cp:revision>
  <dcterms:created xsi:type="dcterms:W3CDTF">2022-12-02T12:21:00Z</dcterms:created>
  <dcterms:modified xsi:type="dcterms:W3CDTF">2022-12-07T12:24:00Z</dcterms:modified>
</cp:coreProperties>
</file>